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4D" w:rsidRPr="00D3264D" w:rsidRDefault="00D3264D" w:rsidP="00D3264D">
      <w:pPr>
        <w:pBdr>
          <w:top w:val="single" w:sz="6" w:space="8" w:color="F8B046"/>
          <w:bottom w:val="single" w:sz="6" w:space="8" w:color="F8B046"/>
        </w:pBdr>
        <w:shd w:val="clear" w:color="auto" w:fill="FFFFFF"/>
        <w:spacing w:before="75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4"/>
          <w:szCs w:val="24"/>
          <w:lang w:eastAsia="ru-RU"/>
        </w:rPr>
      </w:pPr>
      <w:r w:rsidRPr="00D3264D">
        <w:rPr>
          <w:rFonts w:ascii="Open Sans" w:eastAsia="Times New Roman" w:hAnsi="Open Sans" w:cs="Open Sans"/>
          <w:b/>
          <w:bCs/>
          <w:color w:val="000000"/>
          <w:kern w:val="36"/>
          <w:sz w:val="24"/>
          <w:szCs w:val="24"/>
          <w:lang w:eastAsia="ru-RU"/>
        </w:rPr>
        <w:t>Основные положения учетной политики</w:t>
      </w:r>
    </w:p>
    <w:tbl>
      <w:tblPr>
        <w:tblW w:w="99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24"/>
        <w:gridCol w:w="2342"/>
        <w:gridCol w:w="5706"/>
      </w:tblGrid>
      <w:tr w:rsidR="00D3264D" w:rsidRPr="00D3264D" w:rsidTr="00D3264D">
        <w:tc>
          <w:tcPr>
            <w:tcW w:w="1924" w:type="dxa"/>
            <w:vMerge w:val="restart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 9 СГС «Учетная политика, оценочные значения и ошибки»</w:t>
            </w:r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«Учреждение публикует основные положения учетной политики на своем официальном сайте путем размещения общей информации о перечне основных способов ведения учета, особенностях»</w:t>
            </w:r>
          </w:p>
        </w:tc>
      </w:tr>
      <w:tr w:rsidR="00D3264D" w:rsidRPr="00D3264D" w:rsidTr="00D3264D">
        <w:tc>
          <w:tcPr>
            <w:tcW w:w="1924" w:type="dxa"/>
            <w:vMerge/>
            <w:vAlign w:val="center"/>
            <w:hideMark/>
          </w:tcPr>
          <w:p w:rsidR="00D3264D" w:rsidRPr="00D3264D" w:rsidRDefault="00D3264D" w:rsidP="00D32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anchor="/document/99/542618106/XA00M8E2MP/" w:tgtFrame="15. Последствия изменения учетной политики, оказавшие или способные оказать существенные изменения показателей, отражающих финансовое положение, финансовые результаты деятельности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15–17 СГС «Учетная политика, оценочные значения и ошибки»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средств,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ошибках»</w:t>
            </w:r>
          </w:p>
        </w:tc>
      </w:tr>
      <w:tr w:rsidR="00D3264D" w:rsidRPr="00D3264D" w:rsidTr="00D3264D">
        <w:tc>
          <w:tcPr>
            <w:tcW w:w="1924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Методы оценки отдельных видов имущества и обязательств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anchor="/document/99/542618106/ZAP31DA3R3/" w:tgtFrame="К оценочным значениям относятся: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6 СГС «Учетная политика, оценочные значения и ошибки»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бухгалтера»</w:t>
            </w:r>
          </w:p>
        </w:tc>
      </w:tr>
      <w:tr w:rsidR="00D3264D" w:rsidRPr="00D3264D" w:rsidTr="00D3264D">
        <w:tc>
          <w:tcPr>
            <w:tcW w:w="1924" w:type="dxa"/>
            <w:vMerge w:val="restart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 о финансовых результатах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anchor="/document/99/542619320/XA00M9A2N9/" w:tgtFrame="а) о положениях учетной политики, устанавливающих особенности признания доходов субъектом учета;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подп. «а» п. 55 СГС «Доходы»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«Доходы от оказания платных услуг по долгосрочным договорам (абонементам) признаются в учете в составе доходов будущих периодов в сумме, единовременно полученной за предстоящие услуги. Доходы будущих периодов признаются в текущих доходах равномерно в последний день каждого отчетного периода. Основание для бухгалтерской записи – бухгалтерская справка (</w:t>
            </w:r>
            <w:hyperlink r:id="rId7" w:anchor="/document/140/33945/" w:tgtFrame="ОКУД 0504833. Бухгалтерская справка" w:history="1">
              <w:r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ф. 0504833</w:t>
              </w:r>
            </w:hyperlink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)»</w:t>
            </w:r>
          </w:p>
        </w:tc>
      </w:tr>
      <w:tr w:rsidR="00D3264D" w:rsidRPr="00D3264D" w:rsidTr="00D3264D">
        <w:tc>
          <w:tcPr>
            <w:tcW w:w="1924" w:type="dxa"/>
            <w:vMerge/>
            <w:vAlign w:val="center"/>
            <w:hideMark/>
          </w:tcPr>
          <w:p w:rsidR="00D3264D" w:rsidRPr="00D3264D" w:rsidRDefault="00D3264D" w:rsidP="00D32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anchor="/document/99/542619320/XA00MB82NE/" w:tgtFrame="11. Сумма признанного дохода, по которому выявлена дебиторская задолженность, не исполненная должником (плательщиком) в срок и не соответствующая критериям признания актива (далее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11 СГС «Доходы»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«Резерв по сомнительным долгам создается в конце каждого отчетного периода, не позднее последнего дня отчетного периода. Основание для создания резерва – решение комиссии учреждения по поступлению и выбытию активов, оформленное по результатам инвентаризации задолженности на основании документов, подтверждающих сомнительность долга. Величина резерва равна величине 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выявленной сомнительной задолженности»</w:t>
            </w:r>
          </w:p>
        </w:tc>
      </w:tr>
      <w:tr w:rsidR="00D3264D" w:rsidRPr="00D3264D" w:rsidTr="00D3264D">
        <w:tc>
          <w:tcPr>
            <w:tcW w:w="1924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Раздел об отчетности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anchor="/document/99/542618111/XA00M7E2ML/" w:tgtFrame="8. По текущим операциям отражаются: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 8–10</w:t>
              </w:r>
            </w:hyperlink>
            <w:r w:rsidR="00D3264D"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hyperlink r:id="rId10" w:anchor="/document/99/542618111/XA00M7U2MN/" w:tgtFrame="11. Денежные потоки, которые исходя из экономического содержания не могут быть однозначно классифицированы в соответствии с требованиями настоящего Стандарта, классифицируются как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11</w:t>
              </w:r>
            </w:hyperlink>
            <w:r w:rsidR="00D3264D"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hyperlink r:id="rId11" w:anchor="/document/99/542618111/XA00MA02N6/" w:tgtFrame="а) в составе информации об учетной политике: используемые подходы для определения структуры денежных средств и эквивалентов денежных средств, классификации денежных потоков, не указанных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подп. «а» п. 19</w:t>
              </w:r>
            </w:hyperlink>
            <w:r w:rsidR="00D3264D"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СГС «Отчет о движении денежных средств»</w:t>
            </w:r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Классификация денежных потоков производится в соответствии с пунктом 7 СГС "Отчет о движении денежных средств" по правилам, установленным в </w:t>
            </w:r>
            <w:hyperlink r:id="rId12" w:anchor="/document/99/542618111/XA00M7E2ML/" w:tgtFrame="8. По текущим операциям отражаются:" w:history="1">
              <w:r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пунктах 8–10</w:t>
              </w:r>
            </w:hyperlink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, </w:t>
            </w:r>
            <w:hyperlink r:id="rId13" w:anchor="/document/99/542618111/XA00M7U2MN/" w:tgtFrame="11. Денежные потоки, которые исходя из экономического содержания не могут быть однозначно классифицированы в соответствии с требованиями настоящего Стандарта, классифицируются как..." w:history="1">
              <w:r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11</w:t>
              </w:r>
            </w:hyperlink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hyperlink r:id="rId14" w:anchor="/document/99/542618111/XA00MA02N6/" w:tgtFrame="а) в составе информации об учетной политике: используемые подходы для определения структуры денежных средств и эквивалентов денежных средств, классификации денежных потоков, не указанных..." w:history="1">
              <w:r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подп. «а» п. 19</w:t>
              </w:r>
            </w:hyperlink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СГС "Отчет о движении денежных средств"»</w:t>
            </w:r>
          </w:p>
        </w:tc>
      </w:tr>
      <w:tr w:rsidR="00D3264D" w:rsidRPr="00D3264D" w:rsidTr="00D3264D">
        <w:tc>
          <w:tcPr>
            <w:tcW w:w="1924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признания в бухучете и отчетности событий после отчетной даты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anchor="/document/99/902249301/ZAP2FSS3KO/" w:tgtFrame="порядок признания в бухгалтерском учете и раскрытия в бухгалтерской (финансовой) отчетности событий после отчетной даты;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6 Инструкции к Единому плану счетов № 157н</w:t>
              </w:r>
            </w:hyperlink>
            <w:r w:rsidR="00D3264D"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hyperlink r:id="rId16" w:anchor="/document/99/542618106/XA00MB82NE/" w:tgtFrame="ж) порядок признания в бухгалтерском учете и раскрытия в бухгалтерской (финансовой) отчетности событий после отчетной даты;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подп. «ж» п. 9 СГС «Учетная политика, оценочные значения и ошибки»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«Квалифицирует событие как СПОД главный бухгалтер на основе своего профессионального суждения»</w:t>
            </w:r>
          </w:p>
        </w:tc>
      </w:tr>
      <w:tr w:rsidR="00D3264D" w:rsidRPr="00D3264D" w:rsidTr="00D3264D">
        <w:tc>
          <w:tcPr>
            <w:tcW w:w="1924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Положение о комиссии по поступлению и выбытию активов</w:t>
            </w:r>
          </w:p>
        </w:tc>
        <w:tc>
          <w:tcPr>
            <w:tcW w:w="2041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anchor="/document/99/542619320/XA00MB82NE/" w:tgtFrame="11. Сумма признанного дохода, по которому выявлена дебиторская задолженность, не исполненная должником (плательщиком) в срок и не соответствующая критериям признания актива (далее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11 СГС «Доходы»</w:t>
              </w:r>
            </w:hyperlink>
          </w:p>
        </w:tc>
        <w:tc>
          <w:tcPr>
            <w:tcW w:w="6007" w:type="dx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«Комиссия определяет при инвентаризации сомнительную и безнадежную задолженность»</w:t>
            </w:r>
          </w:p>
        </w:tc>
      </w:tr>
      <w:tr w:rsidR="00D3264D" w:rsidRPr="00D3264D" w:rsidTr="00D3264D">
        <w:tc>
          <w:tcPr>
            <w:tcW w:w="1924" w:type="dxa"/>
            <w:shd w:val="clear" w:color="auto" w:fill="FAFAF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Положение о признании дебиторской задолженности безнадежной к взысканию</w:t>
            </w:r>
          </w:p>
        </w:tc>
        <w:tc>
          <w:tcPr>
            <w:tcW w:w="2041" w:type="dxa"/>
            <w:shd w:val="clear" w:color="auto" w:fill="FAFAF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526DFC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anchor="/document/99/542619320/XA00MB82NE/" w:tgtFrame="11. Сумма признанного дохода, по которому выявлена дебиторская задолженность, не исполненная должником (плательщиком) в срок и не соответствующая критериям признания актива (далее..." w:history="1">
              <w:r w:rsidR="00D3264D" w:rsidRPr="00D3264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п. 11 СГС «Доходы»</w:t>
              </w:r>
            </w:hyperlink>
          </w:p>
        </w:tc>
        <w:tc>
          <w:tcPr>
            <w:tcW w:w="6007" w:type="dxa"/>
            <w:shd w:val="clear" w:color="auto" w:fill="FAFAFA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«Задолженность признается сомнительной при условии, что должник нарушил сроки исполнения обязательства, и наличии одного из следующих обстоятельств: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– отсутствие обеспечения долга залогом, задатком, поручительством, банковской гарантией и т. п.;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– значительные финансовые затруднения должника, ставшие известными из СМИ или других источников;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– возбуждение процедуры банкротства в отношении должника.</w:t>
            </w:r>
          </w:p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признается сомнительной: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– обязательства должников, просрочка исполнения которых не превышает 30 дней;</w:t>
            </w: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– задолженность заказчиков по договорам оказания услуг или выполнения работ, по которым срок действия договора еще не истек.</w:t>
            </w:r>
          </w:p>
          <w:p w:rsidR="00D3264D" w:rsidRPr="00D3264D" w:rsidRDefault="00D3264D" w:rsidP="00D3264D">
            <w:pPr>
              <w:spacing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26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целью квалификации задолженности сомнительной каждый долг индивидуально оценивается на предмет наличия обстоятельств»</w:t>
            </w:r>
          </w:p>
        </w:tc>
      </w:tr>
    </w:tbl>
    <w:p w:rsidR="00D84C17" w:rsidRDefault="00D84C17"/>
    <w:sectPr w:rsidR="00D84C17" w:rsidSect="005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7F"/>
    <w:rsid w:val="00526DFC"/>
    <w:rsid w:val="00C621D0"/>
    <w:rsid w:val="00D3264D"/>
    <w:rsid w:val="00D84C17"/>
    <w:rsid w:val="00F5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FC"/>
  </w:style>
  <w:style w:type="paragraph" w:styleId="1">
    <w:name w:val="heading 1"/>
    <w:basedOn w:val="a"/>
    <w:link w:val="10"/>
    <w:uiPriority w:val="9"/>
    <w:qFormat/>
    <w:rsid w:val="00D3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6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finansy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5" Type="http://schemas.openxmlformats.org/officeDocument/2006/relationships/hyperlink" Target="https://www.gosfinansy.ru/" TargetMode="External"/><Relationship Id="rId15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sfinansy.ru/" TargetMode="Externa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 s e r</cp:lastModifiedBy>
  <cp:revision>2</cp:revision>
  <dcterms:created xsi:type="dcterms:W3CDTF">2026-04-23T07:42:00Z</dcterms:created>
  <dcterms:modified xsi:type="dcterms:W3CDTF">2026-04-23T07:42:00Z</dcterms:modified>
</cp:coreProperties>
</file>